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9"/>
          <w:szCs w:val="29"/>
          <w:rtl w:val="0"/>
        </w:rPr>
        <w:t>Sum</w:t>
      </w:r>
      <w:r>
        <w:rPr>
          <w:rFonts w:ascii="Arial" w:hAnsi="Arial" w:hint="default"/>
          <w:b w:val="1"/>
          <w:bCs w:val="1"/>
          <w:sz w:val="29"/>
          <w:szCs w:val="29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rtl w:val="0"/>
          <w:lang w:val="pt-PT"/>
        </w:rPr>
        <w:t>rio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A necessidade da adequa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das contrata</w:t>
      </w:r>
      <w:r>
        <w:rPr>
          <w:rFonts w:ascii="Arial" w:hAnsi="Arial" w:hint="default"/>
          <w:sz w:val="29"/>
          <w:szCs w:val="29"/>
          <w:rtl w:val="0"/>
          <w:lang w:val="pt-PT"/>
        </w:rPr>
        <w:t>çõ</w:t>
      </w:r>
      <w:r>
        <w:rPr>
          <w:rFonts w:ascii="Arial" w:hAnsi="Arial"/>
          <w:sz w:val="29"/>
          <w:szCs w:val="29"/>
          <w:rtl w:val="0"/>
          <w:lang w:val="en-US"/>
        </w:rPr>
        <w:t>es art</w:t>
      </w:r>
      <w:r>
        <w:rPr>
          <w:rFonts w:ascii="Arial" w:hAnsi="Arial" w:hint="default"/>
          <w:sz w:val="29"/>
          <w:szCs w:val="29"/>
          <w:rtl w:val="0"/>
        </w:rPr>
        <w:t>í</w:t>
      </w:r>
      <w:r>
        <w:rPr>
          <w:rFonts w:ascii="Arial" w:hAnsi="Arial"/>
          <w:sz w:val="29"/>
          <w:szCs w:val="29"/>
          <w:rtl w:val="0"/>
          <w:lang w:val="pt-PT"/>
        </w:rPr>
        <w:t>sticas nas plataformas digitais ao direito brasileiro - ANDREA FRANCEZ e ARTHUR DEUCHER FIGUEIREDO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Desenho industrial: revisitando registrabilidade e infra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face ao moderno conceito de design - CLAUDIO R. BARBOSA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Avalia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es-ES_tradnl"/>
        </w:rPr>
        <w:t>o de marca - ELIANE YACHOUH ABR</w:t>
      </w:r>
      <w:r>
        <w:rPr>
          <w:rFonts w:ascii="Arial" w:hAnsi="Arial" w:hint="default"/>
          <w:sz w:val="29"/>
          <w:szCs w:val="29"/>
          <w:rtl w:val="0"/>
        </w:rPr>
        <w:t>Ã</w:t>
      </w:r>
      <w:r>
        <w:rPr>
          <w:rFonts w:ascii="Arial" w:hAnsi="Arial"/>
          <w:sz w:val="29"/>
          <w:szCs w:val="29"/>
          <w:rtl w:val="0"/>
          <w:lang w:val="pt-PT"/>
        </w:rPr>
        <w:t>O e PEDRO PEREIRA DE ALVARENGA NETO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As diversas formas de gest</w:t>
      </w:r>
      <w:r>
        <w:rPr>
          <w:rFonts w:ascii="Arial" w:hAnsi="Arial" w:hint="default"/>
          <w:sz w:val="29"/>
          <w:szCs w:val="29"/>
          <w:rtl w:val="0"/>
          <w:lang w:val="pt-PT"/>
        </w:rPr>
        <w:t>ã</w:t>
      </w:r>
      <w:r>
        <w:rPr>
          <w:rFonts w:ascii="Arial" w:hAnsi="Arial"/>
          <w:sz w:val="29"/>
          <w:szCs w:val="29"/>
          <w:rtl w:val="0"/>
          <w:lang w:val="pt-PT"/>
        </w:rPr>
        <w:t>o coletiva de direitos autorais - GLORIA CRISTINA ROCHA BRAGA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A utiliza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de obra preexistente na cria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en-US"/>
        </w:rPr>
        <w:t>o de obras de artes: caso Andy Warhol Foundation for the Visual Arts, Inc. v. Goldsmith - IVANA C</w:t>
      </w:r>
      <w:r>
        <w:rPr>
          <w:rFonts w:ascii="Arial" w:hAnsi="Arial" w:hint="default"/>
          <w:sz w:val="29"/>
          <w:szCs w:val="29"/>
          <w:rtl w:val="0"/>
        </w:rPr>
        <w:t xml:space="preserve">Ó </w:t>
      </w:r>
      <w:r>
        <w:rPr>
          <w:rFonts w:ascii="Arial" w:hAnsi="Arial"/>
          <w:sz w:val="29"/>
          <w:szCs w:val="29"/>
          <w:rtl w:val="0"/>
          <w:lang w:val="it-IT"/>
        </w:rPr>
        <w:t>GALDINO CRIVELLI e FELIPE BOCARDO CERDEIRA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Par</w:t>
      </w:r>
      <w:r>
        <w:rPr>
          <w:rFonts w:ascii="Arial" w:hAnsi="Arial" w:hint="default"/>
          <w:sz w:val="29"/>
          <w:szCs w:val="29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rtl w:val="0"/>
          <w:lang w:val="es-ES_tradnl"/>
        </w:rPr>
        <w:t xml:space="preserve">dia como limite </w:t>
      </w:r>
      <w:r>
        <w:rPr>
          <w:rFonts w:ascii="Arial" w:hAnsi="Arial" w:hint="default"/>
          <w:sz w:val="29"/>
          <w:szCs w:val="29"/>
          <w:rtl w:val="0"/>
        </w:rPr>
        <w:t xml:space="preserve">à </w:t>
      </w:r>
      <w:r>
        <w:rPr>
          <w:rFonts w:ascii="Arial" w:hAnsi="Arial"/>
          <w:sz w:val="29"/>
          <w:szCs w:val="29"/>
          <w:rtl w:val="0"/>
        </w:rPr>
        <w:t>prote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dos direitos autorais: defini</w:t>
      </w:r>
      <w:r>
        <w:rPr>
          <w:rFonts w:ascii="Arial" w:hAnsi="Arial" w:hint="default"/>
          <w:sz w:val="29"/>
          <w:szCs w:val="29"/>
          <w:rtl w:val="0"/>
          <w:lang w:val="pt-PT"/>
        </w:rPr>
        <w:t>çõ</w:t>
      </w:r>
      <w:r>
        <w:rPr>
          <w:rFonts w:ascii="Arial" w:hAnsi="Arial"/>
          <w:sz w:val="29"/>
          <w:szCs w:val="29"/>
          <w:rtl w:val="0"/>
          <w:lang w:val="pt-PT"/>
        </w:rPr>
        <w:t>es e aplica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no Brasil e exterior - JENER KATH JARDIM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A vulnerabilidade no consumo de produtos via internet em face da pirataria: uma perspectiva sob o prisma da fragilidade na prote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de dados do consumidor - MARCELLO DO NASCIMENTO e MARIANA BENFATI BRANDI SILVA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A obra em coautoria e seu exerc</w:t>
      </w:r>
      <w:r>
        <w:rPr>
          <w:rFonts w:ascii="Arial" w:hAnsi="Arial" w:hint="default"/>
          <w:sz w:val="29"/>
          <w:szCs w:val="29"/>
          <w:rtl w:val="0"/>
        </w:rPr>
        <w:t>í</w:t>
      </w:r>
      <w:r>
        <w:rPr>
          <w:rFonts w:ascii="Arial" w:hAnsi="Arial"/>
          <w:sz w:val="29"/>
          <w:szCs w:val="29"/>
          <w:rtl w:val="0"/>
          <w:lang w:val="de-DE"/>
        </w:rPr>
        <w:t>cio - MARIA LUIZA DE FREITAS VALLE EGEA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O desafio dos direitos autorais das obras audiovisuais na era da multitela - MARINA DE LIMA DRAIB e FL</w:t>
      </w:r>
      <w:r>
        <w:rPr>
          <w:rFonts w:ascii="Arial" w:hAnsi="Arial" w:hint="default"/>
          <w:sz w:val="29"/>
          <w:szCs w:val="29"/>
          <w:rtl w:val="0"/>
        </w:rPr>
        <w:t>Á</w:t>
      </w:r>
      <w:r>
        <w:rPr>
          <w:rFonts w:ascii="Arial" w:hAnsi="Arial"/>
          <w:sz w:val="29"/>
          <w:szCs w:val="29"/>
          <w:rtl w:val="0"/>
          <w:lang w:val="de-DE"/>
        </w:rPr>
        <w:t>VIA TENDLER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Apura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dos preju</w:t>
      </w:r>
      <w:r>
        <w:rPr>
          <w:rFonts w:ascii="Arial" w:hAnsi="Arial" w:hint="default"/>
          <w:sz w:val="29"/>
          <w:szCs w:val="29"/>
          <w:rtl w:val="0"/>
        </w:rPr>
        <w:t>í</w:t>
      </w:r>
      <w:r>
        <w:rPr>
          <w:rFonts w:ascii="Arial" w:hAnsi="Arial"/>
          <w:sz w:val="29"/>
          <w:szCs w:val="29"/>
          <w:rtl w:val="0"/>
          <w:lang w:val="pt-PT"/>
        </w:rPr>
        <w:t>zos da infra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a propriedades intelectuais - MAUR</w:t>
      </w:r>
      <w:r>
        <w:rPr>
          <w:rFonts w:ascii="Arial" w:hAnsi="Arial" w:hint="default"/>
          <w:sz w:val="29"/>
          <w:szCs w:val="29"/>
          <w:rtl w:val="0"/>
        </w:rPr>
        <w:t>Í</w:t>
      </w:r>
      <w:r>
        <w:rPr>
          <w:rFonts w:ascii="Arial" w:hAnsi="Arial"/>
          <w:sz w:val="29"/>
          <w:szCs w:val="29"/>
          <w:rtl w:val="0"/>
          <w:lang w:val="pt-PT"/>
        </w:rPr>
        <w:t>CIO CARLOS DA SILVA BRAGA e ROG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pt-PT"/>
        </w:rPr>
        <w:t>RIO GOMES GIGEL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de-DE"/>
        </w:rPr>
        <w:t>Per</w:t>
      </w:r>
      <w:r>
        <w:rPr>
          <w:rFonts w:ascii="Arial" w:hAnsi="Arial" w:hint="default"/>
          <w:sz w:val="29"/>
          <w:szCs w:val="29"/>
          <w:rtl w:val="0"/>
        </w:rPr>
        <w:t>í</w:t>
      </w:r>
      <w:r>
        <w:rPr>
          <w:rFonts w:ascii="Arial" w:hAnsi="Arial"/>
          <w:sz w:val="29"/>
          <w:szCs w:val="29"/>
          <w:rtl w:val="0"/>
          <w:lang w:val="pt-PT"/>
        </w:rPr>
        <w:t>cia complexa na propriedade industrial - ROG</w:t>
      </w:r>
      <w:r>
        <w:rPr>
          <w:rFonts w:ascii="Arial" w:hAnsi="Arial" w:hint="default"/>
          <w:sz w:val="29"/>
          <w:szCs w:val="29"/>
          <w:rtl w:val="0"/>
          <w:lang w:val="fr-FR"/>
        </w:rPr>
        <w:t>É</w:t>
      </w:r>
      <w:r>
        <w:rPr>
          <w:rFonts w:ascii="Arial" w:hAnsi="Arial"/>
          <w:sz w:val="29"/>
          <w:szCs w:val="29"/>
          <w:rtl w:val="0"/>
          <w:lang w:val="es-ES_tradnl"/>
        </w:rPr>
        <w:t>RIO PRADO DE CASTRO MONTEIRO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</w:rPr>
        <w:t>Par</w:t>
      </w:r>
      <w:r>
        <w:rPr>
          <w:rFonts w:ascii="Arial" w:hAnsi="Arial" w:hint="default"/>
          <w:sz w:val="29"/>
          <w:szCs w:val="29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rtl w:val="0"/>
          <w:lang w:val="pt-PT"/>
        </w:rPr>
        <w:t>dia de marcas e parasitismo - WILSON PINHEIRO JABUR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9"/>
          <w:szCs w:val="29"/>
          <w:rtl w:val="0"/>
          <w:lang w:val="pt-PT"/>
        </w:rPr>
        <w:t>Fundamentos jur</w:t>
      </w:r>
      <w:r>
        <w:rPr>
          <w:rFonts w:ascii="Arial" w:hAnsi="Arial" w:hint="default"/>
          <w:sz w:val="29"/>
          <w:szCs w:val="29"/>
          <w:rtl w:val="0"/>
        </w:rPr>
        <w:t>í</w:t>
      </w:r>
      <w:r>
        <w:rPr>
          <w:rFonts w:ascii="Arial" w:hAnsi="Arial"/>
          <w:sz w:val="29"/>
          <w:szCs w:val="29"/>
          <w:rtl w:val="0"/>
          <w:lang w:val="pt-PT"/>
        </w:rPr>
        <w:t>dicos da prote</w:t>
      </w:r>
      <w:r>
        <w:rPr>
          <w:rFonts w:ascii="Arial" w:hAnsi="Arial" w:hint="default"/>
          <w:sz w:val="29"/>
          <w:szCs w:val="29"/>
          <w:rtl w:val="0"/>
          <w:lang w:val="pt-PT"/>
        </w:rPr>
        <w:t>çã</w:t>
      </w:r>
      <w:r>
        <w:rPr>
          <w:rFonts w:ascii="Arial" w:hAnsi="Arial"/>
          <w:sz w:val="29"/>
          <w:szCs w:val="29"/>
          <w:rtl w:val="0"/>
          <w:lang w:val="pt-PT"/>
        </w:rPr>
        <w:t>o internacional dos direitos de propriedade intelectual e seus impactos sobre a transfer</w:t>
      </w:r>
      <w:r>
        <w:rPr>
          <w:rFonts w:ascii="Arial" w:hAnsi="Arial" w:hint="default"/>
          <w:sz w:val="29"/>
          <w:szCs w:val="29"/>
          <w:rtl w:val="0"/>
        </w:rPr>
        <w:t>ê</w:t>
      </w:r>
      <w:r>
        <w:rPr>
          <w:rFonts w:ascii="Arial" w:hAnsi="Arial"/>
          <w:sz w:val="29"/>
          <w:szCs w:val="29"/>
          <w:rtl w:val="0"/>
          <w:lang w:val="pt-PT"/>
        </w:rPr>
        <w:t>ncia global de tecnologia - YI SHIN TANG</w:t>
      </w: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